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3C5B65">
      <w:pPr>
        <w:pStyle w:val="a7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BA1C22" w:rsidRDefault="00F75D56" w:rsidP="003C5B65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012E70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C5B65" w:rsidRDefault="000F707E" w:rsidP="003C5B65">
      <w:pPr>
        <w:pStyle w:val="a7"/>
        <w:spacing w:after="0" w:line="240" w:lineRule="auto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5B013E">
        <w:rPr>
          <w:rFonts w:ascii="Arial" w:hAnsi="Arial" w:cs="Arial"/>
          <w:b/>
          <w:i/>
          <w:color w:val="C00000"/>
          <w:sz w:val="28"/>
          <w:szCs w:val="28"/>
        </w:rPr>
        <w:t xml:space="preserve">    </w:t>
      </w:r>
      <w:r w:rsidR="003C5B6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</w:t>
      </w:r>
      <w:r w:rsidR="005B013E">
        <w:rPr>
          <w:rFonts w:ascii="Arial" w:hAnsi="Arial" w:cs="Arial"/>
          <w:color w:val="66FF33"/>
          <w:sz w:val="28"/>
          <w:szCs w:val="28"/>
        </w:rPr>
        <w:t>Северо-Западный</w:t>
      </w:r>
    </w:p>
    <w:p w:rsidR="003C5B65" w:rsidRPr="003C5B65" w:rsidRDefault="003C5B65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C00000"/>
          <w:sz w:val="28"/>
          <w:szCs w:val="28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»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5B013E">
        <w:rPr>
          <w:rFonts w:ascii="Arial" w:hAnsi="Arial" w:cs="Arial"/>
          <w:i/>
          <w:color w:val="000066"/>
          <w:szCs w:val="24"/>
        </w:rPr>
        <w:t>Дранов</w:t>
      </w:r>
      <w:proofErr w:type="spellEnd"/>
      <w:r w:rsidRPr="00D72B13">
        <w:rPr>
          <w:rFonts w:ascii="Arial" w:hAnsi="Arial" w:cs="Arial"/>
          <w:i/>
          <w:color w:val="000066"/>
          <w:szCs w:val="24"/>
        </w:rPr>
        <w:t xml:space="preserve"> </w:t>
      </w:r>
      <w:r w:rsidR="005B013E">
        <w:rPr>
          <w:rFonts w:ascii="Arial" w:hAnsi="Arial" w:cs="Arial"/>
          <w:i/>
          <w:color w:val="000066"/>
          <w:szCs w:val="24"/>
        </w:rPr>
        <w:t>Юрий</w:t>
      </w:r>
      <w:r w:rsidRPr="00D72B13">
        <w:rPr>
          <w:rFonts w:ascii="Arial" w:hAnsi="Arial" w:cs="Arial"/>
          <w:i/>
          <w:color w:val="000066"/>
          <w:szCs w:val="24"/>
        </w:rPr>
        <w:t xml:space="preserve"> </w:t>
      </w:r>
      <w:r w:rsidR="005B013E">
        <w:rPr>
          <w:rFonts w:ascii="Arial" w:hAnsi="Arial" w:cs="Arial"/>
          <w:i/>
          <w:color w:val="000066"/>
          <w:szCs w:val="24"/>
        </w:rPr>
        <w:t>Анатольевич</w:t>
      </w:r>
      <w:r w:rsidRPr="00D72B13">
        <w:rPr>
          <w:rFonts w:ascii="Arial" w:hAnsi="Arial" w:cs="Arial"/>
          <w:color w:val="000066"/>
          <w:sz w:val="20"/>
          <w:szCs w:val="24"/>
        </w:rPr>
        <w:t xml:space="preserve"> </w:t>
      </w:r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F75D56" w:rsidRPr="00D72B13" w:rsidRDefault="00F75D56" w:rsidP="00F75D56">
      <w:pPr>
        <w:spacing w:before="80" w:after="8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bookmarkStart w:id="0" w:name="_GoBack"/>
      <w:bookmarkEnd w:id="0"/>
      <w:r w:rsidR="005B013E" w:rsidRPr="00DC0157">
        <w:rPr>
          <w:rFonts w:ascii="Arial" w:eastAsia="Calibri" w:hAnsi="Arial" w:cs="Arial"/>
          <w:b/>
          <w:color w:val="000000" w:themeColor="text1"/>
          <w:sz w:val="24"/>
          <w:szCs w:val="18"/>
        </w:rPr>
        <w:t>8 911 080 17 69</w:t>
      </w:r>
      <w:r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5B013E" w:rsidRPr="005B013E" w:rsidRDefault="00F75D56" w:rsidP="005B013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FF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5B013E" w:rsidRPr="005B013E">
        <w:rPr>
          <w:rFonts w:ascii="Arial" w:hAnsi="Arial" w:cs="Arial"/>
          <w:b/>
          <w:color w:val="0000FF"/>
        </w:rPr>
        <w:t>dranov.spb@mail.ru</w:t>
      </w:r>
    </w:p>
    <w:p w:rsidR="000F707E" w:rsidRPr="005F703D" w:rsidRDefault="000F707E" w:rsidP="005B013E">
      <w:pPr>
        <w:pStyle w:val="a7"/>
        <w:spacing w:before="80" w:after="80" w:line="240" w:lineRule="auto"/>
        <w:ind w:left="0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>Пресс-релиз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5B013E">
        <w:rPr>
          <w:rFonts w:ascii="Arial" w:hAnsi="Arial" w:cs="Arial"/>
          <w:color w:val="000000" w:themeColor="text1"/>
          <w:sz w:val="32"/>
          <w:szCs w:val="32"/>
        </w:rPr>
        <w:t>Северо-Западных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5B1F9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5B1F9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932"/>
        <w:gridCol w:w="14"/>
        <w:gridCol w:w="4855"/>
        <w:gridCol w:w="2914"/>
        <w:gridCol w:w="29"/>
        <w:gridCol w:w="3158"/>
        <w:gridCol w:w="2658"/>
      </w:tblGrid>
      <w:tr w:rsidR="00374F51" w:rsidTr="004B0C53">
        <w:tc>
          <w:tcPr>
            <w:tcW w:w="946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5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4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3187" w:type="dxa"/>
            <w:gridSpan w:val="2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658" w:type="dxa"/>
            <w:shd w:val="clear" w:color="auto" w:fill="00FF00"/>
          </w:tcPr>
          <w:p w:rsidR="00374F51" w:rsidRPr="00186406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374F51" w:rsidTr="001D5A2C">
        <w:trPr>
          <w:trHeight w:val="540"/>
        </w:trPr>
        <w:tc>
          <w:tcPr>
            <w:tcW w:w="14560" w:type="dxa"/>
            <w:gridSpan w:val="7"/>
          </w:tcPr>
          <w:p w:rsidR="00374F51" w:rsidRPr="00D63295" w:rsidRDefault="00374F51" w:rsidP="00374F51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Продукция широкого потребления</w:t>
            </w:r>
          </w:p>
        </w:tc>
      </w:tr>
      <w:tr w:rsidR="00374F51" w:rsidTr="001D5A2C">
        <w:trPr>
          <w:trHeight w:val="450"/>
        </w:trPr>
        <w:tc>
          <w:tcPr>
            <w:tcW w:w="14560" w:type="dxa"/>
            <w:gridSpan w:val="7"/>
          </w:tcPr>
          <w:p w:rsidR="00374F51" w:rsidRPr="000B3E51" w:rsidRDefault="00374F51" w:rsidP="003113BC">
            <w:pPr>
              <w:tabs>
                <w:tab w:val="left" w:pos="3795"/>
                <w:tab w:val="center" w:pos="7285"/>
                <w:tab w:val="left" w:pos="11730"/>
              </w:tabs>
              <w:spacing w:before="20" w:after="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0B3E51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  <w:shd w:val="clear" w:color="auto" w:fill="FFFFFF" w:themeFill="background1"/>
              </w:rPr>
              <w:t>Изделия из тканей</w:t>
            </w:r>
            <w:r w:rsidRPr="000B3E51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74F51" w:rsidTr="001D5A2C">
        <w:trPr>
          <w:trHeight w:val="450"/>
        </w:trPr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sz w:val="20"/>
                <w:szCs w:val="28"/>
              </w:rPr>
              <w:t>Верхняя одежда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sz w:val="18"/>
                <w:szCs w:val="24"/>
              </w:rPr>
              <w:t>(кардиганы, накидки, платки, свитера и др.)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Кофты (льняные)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Накидки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Платки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0455C0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Свитера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1D5A2C">
        <w:trPr>
          <w:trHeight w:val="450"/>
        </w:trPr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8"/>
              </w:rPr>
            </w:pPr>
            <w:r w:rsidRPr="00123574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(носки, перчатки, тапочки, чулки и др.)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Носки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Перчатки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Тапочки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rPr>
          <w:trHeight w:val="450"/>
        </w:trPr>
        <w:tc>
          <w:tcPr>
            <w:tcW w:w="932" w:type="dxa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gridSpan w:val="2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Чулки</w:t>
            </w:r>
          </w:p>
        </w:tc>
        <w:tc>
          <w:tcPr>
            <w:tcW w:w="2943" w:type="dxa"/>
            <w:gridSpan w:val="2"/>
          </w:tcPr>
          <w:p w:rsidR="00374F51" w:rsidRPr="00123574" w:rsidRDefault="00374F51" w:rsidP="00374F51">
            <w:pPr>
              <w:spacing w:before="120"/>
              <w:jc w:val="center"/>
              <w:rPr>
                <w:color w:val="D99594" w:themeColor="accent2" w:themeTint="99"/>
              </w:rPr>
            </w:pPr>
            <w:r w:rsidRPr="00123574"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  <w:t>Различной категории</w:t>
            </w:r>
          </w:p>
        </w:tc>
        <w:tc>
          <w:tcPr>
            <w:tcW w:w="3158" w:type="dxa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123574" w:rsidRPr="00123574" w:rsidTr="001D5A2C">
        <w:trPr>
          <w:trHeight w:val="450"/>
        </w:trPr>
        <w:tc>
          <w:tcPr>
            <w:tcW w:w="14560" w:type="dxa"/>
            <w:gridSpan w:val="7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66FF33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123574">
              <w:rPr>
                <w:rFonts w:ascii="Arial" w:hAnsi="Arial" w:cs="Arial"/>
                <w:b/>
                <w:color w:val="66FF33"/>
                <w:sz w:val="28"/>
                <w:szCs w:val="28"/>
              </w:rPr>
              <w:t>Изделия из кожи, пуха, шерсти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>Верхняя одежда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(кардиганы, накидки, платки, свитера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Кардиганы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tabs>
                <w:tab w:val="left" w:pos="37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Кофты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Платки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Свитера</w:t>
            </w:r>
          </w:p>
        </w:tc>
        <w:tc>
          <w:tcPr>
            <w:tcW w:w="2914" w:type="dxa"/>
          </w:tcPr>
          <w:p w:rsidR="00374F51" w:rsidRPr="009040EB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 шт.</w:t>
            </w:r>
          </w:p>
        </w:tc>
      </w:tr>
      <w:tr w:rsidR="00374F51" w:rsidTr="001D5A2C">
        <w:tc>
          <w:tcPr>
            <w:tcW w:w="5801" w:type="dxa"/>
            <w:gridSpan w:val="3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759" w:type="dxa"/>
            <w:gridSpan w:val="4"/>
          </w:tcPr>
          <w:p w:rsidR="00374F51" w:rsidRPr="00123574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(носки, перчатки, тапочки, чулки и др.)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5B1F92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Носки</w:t>
            </w:r>
          </w:p>
        </w:tc>
        <w:tc>
          <w:tcPr>
            <w:tcW w:w="2914" w:type="dxa"/>
          </w:tcPr>
          <w:p w:rsidR="00374F51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E3CDF">
              <w:rPr>
                <w:rFonts w:ascii="Arial" w:hAnsi="Arial" w:cs="Arial"/>
                <w:sz w:val="24"/>
                <w:szCs w:val="24"/>
              </w:rPr>
              <w:t>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Перчатки</w:t>
            </w:r>
          </w:p>
        </w:tc>
        <w:tc>
          <w:tcPr>
            <w:tcW w:w="2914" w:type="dxa"/>
          </w:tcPr>
          <w:p w:rsidR="00374F51" w:rsidRDefault="00374F51" w:rsidP="001D5A2C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="001D5A2C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1D5A2C"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кожа</w:t>
            </w:r>
            <w:r w:rsidR="001D5A2C"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>(верблюда,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породы)</w:t>
            </w:r>
            <w:r w:rsidR="004D7510">
              <w:rPr>
                <w:rFonts w:ascii="Arial" w:hAnsi="Arial" w:cs="Arial"/>
                <w:i/>
                <w:szCs w:val="24"/>
              </w:rPr>
              <w:t xml:space="preserve">, </w:t>
            </w:r>
            <w:r w:rsidR="004D7510"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Тапочки</w:t>
            </w:r>
          </w:p>
        </w:tc>
        <w:tc>
          <w:tcPr>
            <w:tcW w:w="2914" w:type="dxa"/>
          </w:tcPr>
          <w:p w:rsidR="00374F51" w:rsidRPr="003113BC" w:rsidRDefault="00374F51" w:rsidP="00374F51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  <w:color w:val="FF0000"/>
                <w:sz w:val="24"/>
              </w:rPr>
              <w:t xml:space="preserve">100% катанная шерсть </w:t>
            </w:r>
            <w:r w:rsidRPr="003113BC">
              <w:rPr>
                <w:rFonts w:ascii="Arial" w:hAnsi="Arial" w:cs="Arial"/>
                <w:i/>
              </w:rPr>
              <w:t>(верблюда,</w:t>
            </w:r>
            <w:r w:rsidR="004D7510">
              <w:rPr>
                <w:rFonts w:ascii="Arial" w:hAnsi="Arial" w:cs="Arial"/>
                <w:i/>
              </w:rPr>
              <w:t xml:space="preserve"> </w:t>
            </w:r>
            <w:r w:rsidRPr="003113BC">
              <w:rPr>
                <w:rFonts w:ascii="Arial" w:hAnsi="Arial" w:cs="Arial"/>
                <w:i/>
              </w:rPr>
              <w:t>яка)</w:t>
            </w:r>
            <w:r w:rsidR="004D7510">
              <w:rPr>
                <w:rFonts w:ascii="Arial" w:hAnsi="Arial" w:cs="Arial"/>
                <w:i/>
              </w:rPr>
              <w:t xml:space="preserve">, </w:t>
            </w:r>
            <w:r w:rsidR="004D7510" w:rsidRPr="004D7510">
              <w:rPr>
                <w:rFonts w:ascii="Arial" w:hAnsi="Arial" w:cs="Arial"/>
                <w:i/>
                <w:color w:val="FF0000"/>
                <w:sz w:val="24"/>
              </w:rPr>
              <w:t>кожа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374F51" w:rsidTr="004B0C53">
        <w:tc>
          <w:tcPr>
            <w:tcW w:w="946" w:type="dxa"/>
            <w:gridSpan w:val="2"/>
          </w:tcPr>
          <w:p w:rsidR="00374F51" w:rsidRPr="000455C0" w:rsidRDefault="00374F51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374F51" w:rsidRPr="004D7510" w:rsidRDefault="00374F51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Чулки</w:t>
            </w:r>
          </w:p>
        </w:tc>
        <w:tc>
          <w:tcPr>
            <w:tcW w:w="2914" w:type="dxa"/>
          </w:tcPr>
          <w:p w:rsidR="00374F51" w:rsidRDefault="00374F51" w:rsidP="00374F5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яка)</w:t>
            </w:r>
          </w:p>
        </w:tc>
        <w:tc>
          <w:tcPr>
            <w:tcW w:w="3187" w:type="dxa"/>
            <w:gridSpan w:val="2"/>
          </w:tcPr>
          <w:p w:rsidR="00374F51" w:rsidRPr="009040EB" w:rsidRDefault="00374F51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374F51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0F707E" w:rsidTr="004B0C53">
        <w:tc>
          <w:tcPr>
            <w:tcW w:w="946" w:type="dxa"/>
            <w:gridSpan w:val="2"/>
          </w:tcPr>
          <w:p w:rsidR="000F707E" w:rsidRPr="000455C0" w:rsidRDefault="000F707E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0F707E" w:rsidRPr="004D7510" w:rsidRDefault="000F707E" w:rsidP="00374F5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Шапки вязанные</w:t>
            </w:r>
          </w:p>
        </w:tc>
        <w:tc>
          <w:tcPr>
            <w:tcW w:w="2914" w:type="dxa"/>
          </w:tcPr>
          <w:p w:rsidR="000F707E" w:rsidRPr="003113BC" w:rsidRDefault="000F707E" w:rsidP="00374F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0F707E" w:rsidRPr="009040EB" w:rsidRDefault="000F707E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0F707E" w:rsidRPr="009040EB" w:rsidRDefault="001D5A2C" w:rsidP="00374F5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Рейтузы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Наколенники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Одеяло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Сапоги</w:t>
            </w:r>
          </w:p>
        </w:tc>
        <w:tc>
          <w:tcPr>
            <w:tcW w:w="2914" w:type="dxa"/>
          </w:tcPr>
          <w:p w:rsidR="001D5A2C" w:rsidRPr="003113B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100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(</w:t>
            </w:r>
            <w:r w:rsidRPr="003113BC">
              <w:rPr>
                <w:rFonts w:ascii="Arial" w:hAnsi="Arial" w:cs="Arial"/>
                <w:i/>
                <w:szCs w:val="24"/>
              </w:rPr>
              <w:t>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</w:t>
            </w:r>
            <w:r>
              <w:rPr>
                <w:rFonts w:ascii="Arial" w:hAnsi="Arial" w:cs="Arial"/>
                <w:i/>
                <w:szCs w:val="24"/>
              </w:rPr>
              <w:t>),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кожа</w:t>
            </w: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шт.</w:t>
            </w:r>
          </w:p>
        </w:tc>
      </w:tr>
      <w:tr w:rsidR="001D5A2C" w:rsidTr="004B0C53">
        <w:tc>
          <w:tcPr>
            <w:tcW w:w="946" w:type="dxa"/>
            <w:gridSpan w:val="2"/>
          </w:tcPr>
          <w:p w:rsidR="001D5A2C" w:rsidRPr="000455C0" w:rsidRDefault="001D5A2C" w:rsidP="005B1F92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</w:tcPr>
          <w:p w:rsidR="001D5A2C" w:rsidRDefault="001D5A2C" w:rsidP="001D5A2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Спальный мешок</w:t>
            </w:r>
          </w:p>
        </w:tc>
        <w:tc>
          <w:tcPr>
            <w:tcW w:w="2914" w:type="dxa"/>
          </w:tcPr>
          <w:p w:rsidR="001D5A2C" w:rsidRDefault="001D5A2C" w:rsidP="001D5A2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  <w:p w:rsidR="001D5A2C" w:rsidRDefault="001D5A2C" w:rsidP="001D5A2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87" w:type="dxa"/>
            <w:gridSpan w:val="2"/>
          </w:tcPr>
          <w:p w:rsidR="001D5A2C" w:rsidRDefault="001D5A2C" w:rsidP="001D5A2C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658" w:type="dxa"/>
          </w:tcPr>
          <w:p w:rsidR="001D5A2C" w:rsidRDefault="001D5A2C" w:rsidP="001D5A2C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</w:tr>
    </w:tbl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70" w:rsidRDefault="00012E70" w:rsidP="004A08AD">
      <w:pPr>
        <w:spacing w:after="0" w:line="240" w:lineRule="auto"/>
      </w:pPr>
      <w:r>
        <w:separator/>
      </w:r>
    </w:p>
  </w:endnote>
  <w:endnote w:type="continuationSeparator" w:id="0">
    <w:p w:rsidR="00012E70" w:rsidRDefault="00012E7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70" w:rsidRDefault="00012E70" w:rsidP="004A08AD">
      <w:pPr>
        <w:spacing w:after="0" w:line="240" w:lineRule="auto"/>
      </w:pPr>
      <w:r>
        <w:separator/>
      </w:r>
    </w:p>
  </w:footnote>
  <w:footnote w:type="continuationSeparator" w:id="0">
    <w:p w:rsidR="00012E70" w:rsidRDefault="00012E7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0C6"/>
    <w:multiLevelType w:val="hybridMultilevel"/>
    <w:tmpl w:val="C4E64C90"/>
    <w:lvl w:ilvl="0" w:tplc="7FB4B802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12E70"/>
    <w:rsid w:val="000455C0"/>
    <w:rsid w:val="00065233"/>
    <w:rsid w:val="000832CC"/>
    <w:rsid w:val="000A0037"/>
    <w:rsid w:val="000A3DBC"/>
    <w:rsid w:val="000B3E51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B3374"/>
    <w:rsid w:val="002F102B"/>
    <w:rsid w:val="003113BC"/>
    <w:rsid w:val="00337C93"/>
    <w:rsid w:val="003473E5"/>
    <w:rsid w:val="00351F8E"/>
    <w:rsid w:val="00360C5C"/>
    <w:rsid w:val="00374F51"/>
    <w:rsid w:val="003C5B65"/>
    <w:rsid w:val="003E7AB2"/>
    <w:rsid w:val="00401015"/>
    <w:rsid w:val="00415F1F"/>
    <w:rsid w:val="00417569"/>
    <w:rsid w:val="004359D3"/>
    <w:rsid w:val="004378CB"/>
    <w:rsid w:val="00494206"/>
    <w:rsid w:val="004A00C3"/>
    <w:rsid w:val="004A08AD"/>
    <w:rsid w:val="004B0C53"/>
    <w:rsid w:val="004D7510"/>
    <w:rsid w:val="004F2C4A"/>
    <w:rsid w:val="0052563F"/>
    <w:rsid w:val="00572762"/>
    <w:rsid w:val="005B013E"/>
    <w:rsid w:val="005B1F92"/>
    <w:rsid w:val="005B66D0"/>
    <w:rsid w:val="00603636"/>
    <w:rsid w:val="0063497D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9277D"/>
    <w:rsid w:val="00CA4D21"/>
    <w:rsid w:val="00D472AC"/>
    <w:rsid w:val="00D62BE4"/>
    <w:rsid w:val="00D63295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F83A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E5B6-4830-4582-ACC4-006EF74C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14</cp:revision>
  <dcterms:created xsi:type="dcterms:W3CDTF">2021-12-22T11:44:00Z</dcterms:created>
  <dcterms:modified xsi:type="dcterms:W3CDTF">2022-01-26T15:01:00Z</dcterms:modified>
</cp:coreProperties>
</file>