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EE1309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F055E6">
        <w:rPr>
          <w:rFonts w:ascii="Arial" w:hAnsi="Arial" w:cs="Arial"/>
          <w:b/>
          <w:color w:val="000000" w:themeColor="text1"/>
          <w:sz w:val="32"/>
          <w:szCs w:val="32"/>
        </w:rPr>
        <w:t xml:space="preserve">   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055E6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C00000"/>
          <w:sz w:val="28"/>
          <w:szCs w:val="28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</w:t>
      </w:r>
      <w:r w:rsidR="00F055E6">
        <w:rPr>
          <w:rFonts w:ascii="Arial" w:hAnsi="Arial" w:cs="Arial"/>
          <w:b/>
          <w:color w:val="C00000"/>
          <w:sz w:val="28"/>
          <w:szCs w:val="28"/>
        </w:rPr>
        <w:t xml:space="preserve">организаций </w:t>
      </w:r>
      <w:proofErr w:type="spellStart"/>
      <w:r w:rsidR="00F055E6">
        <w:rPr>
          <w:rFonts w:ascii="Arial" w:hAnsi="Arial" w:cs="Arial"/>
          <w:b/>
          <w:color w:val="C00000"/>
          <w:sz w:val="28"/>
          <w:szCs w:val="28"/>
        </w:rPr>
        <w:t>нефте</w:t>
      </w:r>
      <w:proofErr w:type="spellEnd"/>
      <w:r w:rsidR="00F055E6">
        <w:rPr>
          <w:rFonts w:ascii="Arial" w:hAnsi="Arial" w:cs="Arial"/>
          <w:b/>
          <w:color w:val="C00000"/>
          <w:sz w:val="28"/>
          <w:szCs w:val="28"/>
        </w:rPr>
        <w:t>-энергетической</w:t>
      </w:r>
      <w:r w:rsidR="005B5213">
        <w:rPr>
          <w:rFonts w:ascii="Arial" w:hAnsi="Arial" w:cs="Arial"/>
          <w:b/>
          <w:color w:val="C00000"/>
          <w:sz w:val="28"/>
          <w:szCs w:val="28"/>
        </w:rPr>
        <w:t xml:space="preserve">       </w:t>
      </w:r>
      <w:r w:rsidR="00F055E6">
        <w:rPr>
          <w:rFonts w:ascii="Arial" w:hAnsi="Arial" w:cs="Arial"/>
          <w:b/>
          <w:color w:val="C00000"/>
          <w:sz w:val="28"/>
          <w:szCs w:val="28"/>
        </w:rPr>
        <w:t xml:space="preserve">                                 </w:t>
      </w:r>
      <w:r w:rsidR="005B5213">
        <w:rPr>
          <w:rFonts w:ascii="Arial" w:hAnsi="Arial" w:cs="Arial"/>
          <w:color w:val="66FF33"/>
          <w:sz w:val="28"/>
          <w:szCs w:val="28"/>
        </w:rPr>
        <w:t>Алтайский</w:t>
      </w:r>
    </w:p>
    <w:p w:rsidR="009667EE" w:rsidRPr="008705B2" w:rsidRDefault="00F055E6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C00000"/>
          <w:sz w:val="28"/>
          <w:szCs w:val="28"/>
        </w:rPr>
        <w:t>транспортировки</w:t>
      </w:r>
      <w:r w:rsidR="00377DC0" w:rsidRPr="008705B2">
        <w:rPr>
          <w:rFonts w:ascii="Arial" w:hAnsi="Arial" w:cs="Arial"/>
          <w:color w:val="C00000"/>
          <w:sz w:val="28"/>
          <w:szCs w:val="28"/>
        </w:rPr>
        <w:t xml:space="preserve">»                        </w:t>
      </w:r>
    </w:p>
    <w:p w:rsidR="00377DC0" w:rsidRPr="00377DC0" w:rsidRDefault="00377DC0" w:rsidP="00377DC0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Pr="00476C9B">
        <w:rPr>
          <w:rFonts w:ascii="Arial" w:hAnsi="Arial" w:cs="Arial"/>
          <w:i/>
          <w:color w:val="000066"/>
          <w:szCs w:val="24"/>
        </w:rPr>
        <w:t xml:space="preserve">Теркин </w:t>
      </w:r>
      <w:proofErr w:type="spellStart"/>
      <w:r w:rsidRPr="00476C9B">
        <w:rPr>
          <w:rFonts w:ascii="Arial" w:hAnsi="Arial" w:cs="Arial"/>
          <w:i/>
          <w:color w:val="000066"/>
          <w:szCs w:val="24"/>
        </w:rPr>
        <w:t>Арчин</w:t>
      </w:r>
      <w:proofErr w:type="spellEnd"/>
      <w:r w:rsidRPr="00476C9B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Pr="00476C9B">
        <w:rPr>
          <w:rFonts w:ascii="Arial" w:hAnsi="Arial" w:cs="Arial"/>
          <w:i/>
          <w:color w:val="000066"/>
          <w:szCs w:val="24"/>
        </w:rPr>
        <w:t>Мергенович</w:t>
      </w:r>
      <w:proofErr w:type="spellEnd"/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8 913 695 88 04;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 w:rsidR="00476C9B">
        <w:rPr>
          <w:rFonts w:ascii="Arial" w:hAnsi="Arial" w:cs="Arial"/>
          <w:szCs w:val="24"/>
        </w:rPr>
        <w:t xml:space="preserve"> </w:t>
      </w:r>
      <w:hyperlink r:id="rId10" w:history="1">
        <w:r w:rsidR="00476C9B" w:rsidRPr="00476C9B">
          <w:rPr>
            <w:rStyle w:val="a8"/>
            <w:rFonts w:ascii="Arial" w:hAnsi="Arial" w:cs="Arial"/>
            <w:b/>
            <w:szCs w:val="24"/>
            <w:u w:val="none"/>
            <w:lang w:val="en-US"/>
          </w:rPr>
          <w:t>ya</w:t>
        </w:r>
        <w:r w:rsidR="00476C9B" w:rsidRPr="00476C9B">
          <w:rPr>
            <w:rStyle w:val="a8"/>
            <w:rFonts w:ascii="Arial" w:hAnsi="Arial" w:cs="Arial"/>
            <w:b/>
            <w:szCs w:val="24"/>
            <w:u w:val="none"/>
          </w:rPr>
          <w:t>.</w:t>
        </w:r>
        <w:r w:rsidR="00476C9B" w:rsidRPr="00476C9B">
          <w:rPr>
            <w:rStyle w:val="a8"/>
            <w:rFonts w:ascii="Arial" w:hAnsi="Arial" w:cs="Arial"/>
            <w:b/>
            <w:szCs w:val="24"/>
            <w:u w:val="none"/>
            <w:lang w:val="en-US"/>
          </w:rPr>
          <w:t>archynterkin</w:t>
        </w:r>
        <w:r w:rsidR="00476C9B" w:rsidRPr="00476C9B">
          <w:rPr>
            <w:rStyle w:val="a8"/>
            <w:rFonts w:ascii="Arial" w:hAnsi="Arial" w:cs="Arial"/>
            <w:b/>
            <w:szCs w:val="24"/>
            <w:u w:val="none"/>
          </w:rPr>
          <w:t>@</w:t>
        </w:r>
        <w:r w:rsidR="00476C9B" w:rsidRPr="00476C9B">
          <w:rPr>
            <w:rStyle w:val="a8"/>
            <w:rFonts w:ascii="Arial" w:hAnsi="Arial" w:cs="Arial"/>
            <w:b/>
            <w:szCs w:val="24"/>
            <w:u w:val="none"/>
            <w:lang w:val="en-US"/>
          </w:rPr>
          <w:t>yandex</w:t>
        </w:r>
        <w:r w:rsidR="00476C9B" w:rsidRPr="00476C9B">
          <w:rPr>
            <w:rStyle w:val="a8"/>
            <w:rFonts w:ascii="Arial" w:hAnsi="Arial" w:cs="Arial"/>
            <w:b/>
            <w:szCs w:val="24"/>
            <w:u w:val="none"/>
          </w:rPr>
          <w:t>.</w:t>
        </w:r>
        <w:r w:rsidR="00476C9B" w:rsidRPr="00476C9B">
          <w:rPr>
            <w:rStyle w:val="a8"/>
            <w:rFonts w:ascii="Arial" w:hAnsi="Arial" w:cs="Arial"/>
            <w:b/>
            <w:szCs w:val="24"/>
            <w:u w:val="none"/>
            <w:lang w:val="en-US"/>
          </w:rPr>
          <w:t>ru</w:t>
        </w:r>
      </w:hyperlink>
      <w:r w:rsidR="00476C9B">
        <w:rPr>
          <w:rFonts w:ascii="Arial" w:hAnsi="Arial" w:cs="Arial"/>
          <w:b/>
          <w:color w:val="0000FF"/>
          <w:szCs w:val="24"/>
        </w:rPr>
        <w:t xml:space="preserve">. 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 xml:space="preserve">Алтайских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tbl>
      <w:tblPr>
        <w:tblStyle w:val="a9"/>
        <w:tblpPr w:leftFromText="180" w:rightFromText="180" w:vertAnchor="text" w:horzAnchor="margin" w:tblpY="670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797"/>
        <w:gridCol w:w="2956"/>
        <w:gridCol w:w="2963"/>
      </w:tblGrid>
      <w:tr w:rsidR="00EE1309" w:rsidTr="00EE1309">
        <w:tc>
          <w:tcPr>
            <w:tcW w:w="959" w:type="dxa"/>
            <w:shd w:val="clear" w:color="auto" w:fill="00FF00"/>
          </w:tcPr>
          <w:p w:rsidR="00EE1309" w:rsidRPr="00186406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bookmarkStart w:id="0" w:name="_GoBack"/>
            <w:bookmarkEnd w:id="0"/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00FF00"/>
          </w:tcPr>
          <w:p w:rsidR="00EE1309" w:rsidRPr="00186406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shd w:val="clear" w:color="auto" w:fill="00FF00"/>
          </w:tcPr>
          <w:p w:rsidR="00EE1309" w:rsidRPr="00186406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EE1309" w:rsidRPr="00186406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EE1309" w:rsidRPr="00186406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EE1309" w:rsidRPr="00C03676" w:rsidTr="00EE1309">
        <w:tc>
          <w:tcPr>
            <w:tcW w:w="14786" w:type="dxa"/>
            <w:gridSpan w:val="5"/>
            <w:shd w:val="clear" w:color="auto" w:fill="984806" w:themeFill="accent6" w:themeFillShade="80"/>
          </w:tcPr>
          <w:p w:rsidR="00EE1309" w:rsidRPr="00C03676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нефте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-энергетическая</w:t>
            </w:r>
          </w:p>
        </w:tc>
      </w:tr>
      <w:tr w:rsidR="00EE1309" w:rsidTr="00EE1309">
        <w:tc>
          <w:tcPr>
            <w:tcW w:w="14786" w:type="dxa"/>
            <w:gridSpan w:val="5"/>
          </w:tcPr>
          <w:p w:rsidR="00EE1309" w:rsidRPr="0025302E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proofErr w:type="gramStart"/>
            <w:r w:rsidRPr="0025302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Изделия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переработки</w:t>
            </w:r>
            <w:proofErr w:type="gramEnd"/>
          </w:p>
        </w:tc>
      </w:tr>
      <w:tr w:rsidR="00EE1309" w:rsidTr="00EE1309">
        <w:tc>
          <w:tcPr>
            <w:tcW w:w="5070" w:type="dxa"/>
            <w:gridSpan w:val="2"/>
          </w:tcPr>
          <w:p w:rsidR="00EE1309" w:rsidRPr="00C03676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Энергетические (заправочные)</w:t>
            </w:r>
          </w:p>
        </w:tc>
        <w:tc>
          <w:tcPr>
            <w:tcW w:w="9716" w:type="dxa"/>
            <w:gridSpan w:val="3"/>
          </w:tcPr>
          <w:p w:rsidR="00EE1309" w:rsidRPr="00C03676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бензин</w:t>
            </w:r>
            <w:proofErr w:type="gramEnd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, дизельное топливо и газ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)</w:t>
            </w:r>
          </w:p>
        </w:tc>
      </w:tr>
      <w:tr w:rsidR="00EE1309" w:rsidTr="00EE1309">
        <w:tc>
          <w:tcPr>
            <w:tcW w:w="959" w:type="dxa"/>
          </w:tcPr>
          <w:p w:rsidR="00EE1309" w:rsidRPr="00C03676" w:rsidRDefault="00EE1309" w:rsidP="00EE1309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EE1309" w:rsidRPr="005736FB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Бензин </w:t>
            </w:r>
          </w:p>
        </w:tc>
        <w:tc>
          <w:tcPr>
            <w:tcW w:w="3797" w:type="dxa"/>
          </w:tcPr>
          <w:p w:rsidR="00EE1309" w:rsidRPr="00F731BD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proofErr w:type="gramStart"/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FF0000"/>
                <w:sz w:val="24"/>
                <w:szCs w:val="28"/>
              </w:rPr>
              <w:t>АИ 76, 92, 95, 98, 100, 101 и 102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с октановым числом не менее 76 и 98, а так же не менее 100, 101, 102. Выпускаются по Евро СТ.</w:t>
            </w:r>
          </w:p>
        </w:tc>
        <w:tc>
          <w:tcPr>
            <w:tcW w:w="2956" w:type="dxa"/>
          </w:tcPr>
          <w:p w:rsidR="00EE1309" w:rsidRPr="00037903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Р 51313-99</w:t>
            </w:r>
          </w:p>
        </w:tc>
        <w:tc>
          <w:tcPr>
            <w:tcW w:w="2963" w:type="dxa"/>
          </w:tcPr>
          <w:p w:rsidR="00EE1309" w:rsidRPr="00F731BD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EE1309" w:rsidTr="00EE1309">
        <w:tc>
          <w:tcPr>
            <w:tcW w:w="959" w:type="dxa"/>
          </w:tcPr>
          <w:p w:rsidR="00EE1309" w:rsidRPr="00F66E4D" w:rsidRDefault="00EE1309" w:rsidP="00EE1309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309" w:rsidRPr="0025302E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Дизельное топливо</w:t>
            </w:r>
          </w:p>
        </w:tc>
        <w:tc>
          <w:tcPr>
            <w:tcW w:w="3797" w:type="dxa"/>
          </w:tcPr>
          <w:p w:rsidR="00EE1309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</w:p>
          <w:p w:rsidR="00EE1309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с содержанием серы 2000 мг/кг;</w:t>
            </w:r>
          </w:p>
          <w:p w:rsidR="00EE1309" w:rsidRPr="003F49AC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37DE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арктическое / летнее / зимнее</w:t>
            </w:r>
          </w:p>
        </w:tc>
        <w:tc>
          <w:tcPr>
            <w:tcW w:w="2956" w:type="dxa"/>
          </w:tcPr>
          <w:p w:rsidR="00EE1309" w:rsidRPr="00037903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32511-2013</w:t>
            </w:r>
            <w:hyperlink r:id="rId11" w:anchor="gost32511-2013" w:history="1">
              <w:r w:rsidRPr="00037903">
                <w:rPr>
                  <w:rFonts w:ascii="Arial" w:hAnsi="Arial" w:cs="Arial"/>
                  <w:color w:val="0645AD"/>
                  <w:sz w:val="24"/>
                  <w:szCs w:val="24"/>
                  <w:shd w:val="clear" w:color="auto" w:fill="FFFFFF"/>
                  <w:vertAlign w:val="superscript"/>
                </w:rPr>
                <w:t>[≡]</w:t>
              </w:r>
            </w:hyperlink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(EN 590:2009)</w:t>
            </w:r>
          </w:p>
        </w:tc>
        <w:tc>
          <w:tcPr>
            <w:tcW w:w="2963" w:type="dxa"/>
          </w:tcPr>
          <w:p w:rsidR="00EE1309" w:rsidRPr="00B9217C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EE1309" w:rsidTr="00EE1309">
        <w:tc>
          <w:tcPr>
            <w:tcW w:w="959" w:type="dxa"/>
          </w:tcPr>
          <w:p w:rsidR="00EE1309" w:rsidRPr="00F66E4D" w:rsidRDefault="00EE1309" w:rsidP="00EE1309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309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Газ</w:t>
            </w:r>
          </w:p>
        </w:tc>
        <w:tc>
          <w:tcPr>
            <w:tcW w:w="3797" w:type="dxa"/>
          </w:tcPr>
          <w:p w:rsidR="00EE1309" w:rsidRPr="0025302E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C71A26">
              <w:rPr>
                <w:rFonts w:ascii="Arial" w:hAnsi="Arial" w:cs="Arial"/>
                <w:i/>
                <w:szCs w:val="24"/>
              </w:rPr>
              <w:t>бутан,</w:t>
            </w:r>
            <w:r w:rsidRPr="00C71A26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C71A26">
              <w:rPr>
                <w:rFonts w:ascii="Arial" w:hAnsi="Arial" w:cs="Arial"/>
                <w:i/>
                <w:szCs w:val="24"/>
              </w:rPr>
              <w:t>водород,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proofErr w:type="spellStart"/>
            <w:r w:rsidRPr="00C71A26">
              <w:rPr>
                <w:rFonts w:ascii="Arial" w:hAnsi="Arial" w:cs="Arial"/>
                <w:i/>
                <w:szCs w:val="24"/>
              </w:rPr>
              <w:t>газген</w:t>
            </w:r>
            <w:proofErr w:type="spellEnd"/>
            <w:r>
              <w:rPr>
                <w:rFonts w:ascii="Arial" w:hAnsi="Arial" w:cs="Arial"/>
                <w:color w:val="FF0000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Cs w:val="24"/>
              </w:rPr>
              <w:t>метан и пропан</w:t>
            </w:r>
          </w:p>
        </w:tc>
        <w:tc>
          <w:tcPr>
            <w:tcW w:w="2956" w:type="dxa"/>
          </w:tcPr>
          <w:p w:rsidR="00EE1309" w:rsidRPr="00037903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sz w:val="24"/>
                <w:szCs w:val="24"/>
              </w:rPr>
              <w:t>ГОСТ Р 52087-2003</w:t>
            </w:r>
          </w:p>
        </w:tc>
        <w:tc>
          <w:tcPr>
            <w:tcW w:w="2963" w:type="dxa"/>
          </w:tcPr>
          <w:p w:rsidR="00EE1309" w:rsidRPr="00B9217C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EE1309" w:rsidTr="00EE1309">
        <w:tc>
          <w:tcPr>
            <w:tcW w:w="5070" w:type="dxa"/>
            <w:gridSpan w:val="2"/>
          </w:tcPr>
          <w:p w:rsidR="00EE1309" w:rsidRPr="00C03676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Расходные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обеспечения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) </w:t>
            </w:r>
          </w:p>
        </w:tc>
        <w:tc>
          <w:tcPr>
            <w:tcW w:w="9716" w:type="dxa"/>
            <w:gridSpan w:val="3"/>
          </w:tcPr>
          <w:p w:rsidR="00EE1309" w:rsidRPr="00C03676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масла</w:t>
            </w:r>
            <w:proofErr w:type="gramEnd"/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присадки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жидкости 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и др.)</w:t>
            </w:r>
          </w:p>
        </w:tc>
      </w:tr>
      <w:tr w:rsidR="00EE1309" w:rsidTr="00EE1309">
        <w:tc>
          <w:tcPr>
            <w:tcW w:w="959" w:type="dxa"/>
          </w:tcPr>
          <w:p w:rsidR="00EE1309" w:rsidRPr="00F66E4D" w:rsidRDefault="00EE1309" w:rsidP="00EE1309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309" w:rsidRPr="00E25C79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Масло в двигатель</w:t>
            </w:r>
          </w:p>
        </w:tc>
        <w:tc>
          <w:tcPr>
            <w:tcW w:w="3797" w:type="dxa"/>
          </w:tcPr>
          <w:p w:rsidR="00EE1309" w:rsidRPr="00B9217C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FF0000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EE1309" w:rsidRPr="000119BC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EE1309" w:rsidRPr="00B9217C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EE1309" w:rsidRPr="00B9217C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EE1309" w:rsidTr="00EE1309">
        <w:tc>
          <w:tcPr>
            <w:tcW w:w="959" w:type="dxa"/>
          </w:tcPr>
          <w:p w:rsidR="00EE1309" w:rsidRPr="00C03676" w:rsidRDefault="00EE1309" w:rsidP="00EE1309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309" w:rsidRPr="00E25C79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Присадки в бензин</w:t>
            </w:r>
          </w:p>
        </w:tc>
        <w:tc>
          <w:tcPr>
            <w:tcW w:w="3797" w:type="dxa"/>
          </w:tcPr>
          <w:p w:rsidR="00EE1309" w:rsidRPr="00B9217C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i/>
                <w:szCs w:val="24"/>
              </w:rPr>
              <w:t>противопригарное</w:t>
            </w:r>
          </w:p>
        </w:tc>
        <w:tc>
          <w:tcPr>
            <w:tcW w:w="2956" w:type="dxa"/>
          </w:tcPr>
          <w:p w:rsidR="00EE1309" w:rsidRDefault="00EE1309" w:rsidP="00EE1309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EE1309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EE1309" w:rsidTr="00EE1309">
        <w:tc>
          <w:tcPr>
            <w:tcW w:w="959" w:type="dxa"/>
          </w:tcPr>
          <w:p w:rsidR="00EE1309" w:rsidRPr="00C03676" w:rsidRDefault="00EE1309" w:rsidP="00EE1309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309" w:rsidRPr="00E25C79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Жидкость незамерзающая в </w:t>
            </w:r>
            <w:proofErr w:type="spellStart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омыватели</w:t>
            </w:r>
            <w:proofErr w:type="spellEnd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 стекол</w:t>
            </w:r>
          </w:p>
        </w:tc>
        <w:tc>
          <w:tcPr>
            <w:tcW w:w="3797" w:type="dxa"/>
          </w:tcPr>
          <w:p w:rsidR="00EE1309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E1309" w:rsidRPr="00B9217C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До – 40°С</w:t>
            </w:r>
          </w:p>
        </w:tc>
        <w:tc>
          <w:tcPr>
            <w:tcW w:w="2956" w:type="dxa"/>
          </w:tcPr>
          <w:p w:rsidR="00EE1309" w:rsidRDefault="00EE1309" w:rsidP="00EE1309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EE1309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EE1309" w:rsidTr="00EE1309">
        <w:tc>
          <w:tcPr>
            <w:tcW w:w="959" w:type="dxa"/>
          </w:tcPr>
          <w:p w:rsidR="00EE1309" w:rsidRPr="00C03676" w:rsidRDefault="00EE1309" w:rsidP="00EE1309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309" w:rsidRPr="00E25C79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Жидкость в радиатор</w:t>
            </w:r>
          </w:p>
        </w:tc>
        <w:tc>
          <w:tcPr>
            <w:tcW w:w="3797" w:type="dxa"/>
          </w:tcPr>
          <w:p w:rsidR="00EE1309" w:rsidRPr="00B9217C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EE1309" w:rsidRDefault="00EE1309" w:rsidP="00EE1309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EE1309" w:rsidRDefault="00EE1309" w:rsidP="00EE130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5F703D" w:rsidRPr="0084666F" w:rsidRDefault="00ED7609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proofErr w:type="gramStart"/>
      <w:r w:rsidRPr="0084666F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  <w:proofErr w:type="gramEnd"/>
    </w:p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9667EE">
      <w:headerReference w:type="default" r:id="rId12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34F5E"/>
    <w:rsid w:val="000400B7"/>
    <w:rsid w:val="00084AD2"/>
    <w:rsid w:val="000A0037"/>
    <w:rsid w:val="000A3DBC"/>
    <w:rsid w:val="000C2B5E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0636D"/>
    <w:rsid w:val="002230B3"/>
    <w:rsid w:val="00230F4F"/>
    <w:rsid w:val="00247007"/>
    <w:rsid w:val="0025302E"/>
    <w:rsid w:val="002630A0"/>
    <w:rsid w:val="002B3374"/>
    <w:rsid w:val="002F36CE"/>
    <w:rsid w:val="00303200"/>
    <w:rsid w:val="00336DC2"/>
    <w:rsid w:val="00337C93"/>
    <w:rsid w:val="003473E5"/>
    <w:rsid w:val="00351F8E"/>
    <w:rsid w:val="00360C5C"/>
    <w:rsid w:val="00377DC0"/>
    <w:rsid w:val="003E03D6"/>
    <w:rsid w:val="003E29B2"/>
    <w:rsid w:val="003E7AB2"/>
    <w:rsid w:val="003F49AC"/>
    <w:rsid w:val="003F5752"/>
    <w:rsid w:val="00415F1F"/>
    <w:rsid w:val="004378CB"/>
    <w:rsid w:val="0044569F"/>
    <w:rsid w:val="00476C9B"/>
    <w:rsid w:val="00483CD8"/>
    <w:rsid w:val="004A08AD"/>
    <w:rsid w:val="004F2C4A"/>
    <w:rsid w:val="0052563F"/>
    <w:rsid w:val="005542FC"/>
    <w:rsid w:val="00572762"/>
    <w:rsid w:val="005736FB"/>
    <w:rsid w:val="0059018B"/>
    <w:rsid w:val="005B5213"/>
    <w:rsid w:val="005B66D0"/>
    <w:rsid w:val="005F703D"/>
    <w:rsid w:val="006544D9"/>
    <w:rsid w:val="006675CE"/>
    <w:rsid w:val="006716FB"/>
    <w:rsid w:val="00673451"/>
    <w:rsid w:val="006A29B3"/>
    <w:rsid w:val="006C26DD"/>
    <w:rsid w:val="006C758C"/>
    <w:rsid w:val="006F04B0"/>
    <w:rsid w:val="006F1DC8"/>
    <w:rsid w:val="00705A5C"/>
    <w:rsid w:val="00722A2D"/>
    <w:rsid w:val="00745083"/>
    <w:rsid w:val="00750FB9"/>
    <w:rsid w:val="00770FF5"/>
    <w:rsid w:val="007711B2"/>
    <w:rsid w:val="007772A9"/>
    <w:rsid w:val="007A53A2"/>
    <w:rsid w:val="007A75BF"/>
    <w:rsid w:val="007D2DB4"/>
    <w:rsid w:val="007E38D0"/>
    <w:rsid w:val="007F4BCE"/>
    <w:rsid w:val="008101A8"/>
    <w:rsid w:val="0084666F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C1136"/>
    <w:rsid w:val="009F5686"/>
    <w:rsid w:val="009F72E3"/>
    <w:rsid w:val="00A2195D"/>
    <w:rsid w:val="00A2204E"/>
    <w:rsid w:val="00A25A0C"/>
    <w:rsid w:val="00A9265B"/>
    <w:rsid w:val="00AC3AD4"/>
    <w:rsid w:val="00AD4B2E"/>
    <w:rsid w:val="00AD649A"/>
    <w:rsid w:val="00AE1A7C"/>
    <w:rsid w:val="00AE2256"/>
    <w:rsid w:val="00AE411F"/>
    <w:rsid w:val="00AF16EB"/>
    <w:rsid w:val="00B00865"/>
    <w:rsid w:val="00B16768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333CF"/>
    <w:rsid w:val="00C33B48"/>
    <w:rsid w:val="00C9277D"/>
    <w:rsid w:val="00CA1295"/>
    <w:rsid w:val="00CA4D21"/>
    <w:rsid w:val="00D466DC"/>
    <w:rsid w:val="00D472AC"/>
    <w:rsid w:val="00D63295"/>
    <w:rsid w:val="00D758C8"/>
    <w:rsid w:val="00D93804"/>
    <w:rsid w:val="00E01993"/>
    <w:rsid w:val="00E25C79"/>
    <w:rsid w:val="00E33788"/>
    <w:rsid w:val="00E342DC"/>
    <w:rsid w:val="00E6095C"/>
    <w:rsid w:val="00E6692E"/>
    <w:rsid w:val="00E92B52"/>
    <w:rsid w:val="00EC0A66"/>
    <w:rsid w:val="00EC469E"/>
    <w:rsid w:val="00ED7609"/>
    <w:rsid w:val="00EE12F8"/>
    <w:rsid w:val="00EE1309"/>
    <w:rsid w:val="00EF1C19"/>
    <w:rsid w:val="00F055E6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C09CFAF-B32C-46D1-98D2-E59102C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8%D0%B7%D0%B5%D0%BB%D1%8C%D0%BD%D0%BE%D0%B5_%D1%82%D0%BE%D0%BF%D0%BB%D0%B8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a.archynterki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CF7B-B353-4F57-B8E8-3643F06F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97</cp:revision>
  <dcterms:created xsi:type="dcterms:W3CDTF">2021-03-10T17:34:00Z</dcterms:created>
  <dcterms:modified xsi:type="dcterms:W3CDTF">2022-01-07T13:43:00Z</dcterms:modified>
</cp:coreProperties>
</file>